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34" w:rsidRPr="0054194F" w:rsidRDefault="008C7234" w:rsidP="008C7234">
      <w:pPr>
        <w:spacing w:before="100" w:beforeAutospacing="1" w:after="100" w:afterAutospacing="1" w:line="240" w:lineRule="auto"/>
        <w:jc w:val="center"/>
        <w:rPr>
          <w:rFonts w:ascii="Times New Roman" w:eastAsia="Times New Roman" w:hAnsi="Times New Roman" w:cs="Times New Roman"/>
          <w:b/>
          <w:sz w:val="24"/>
          <w:szCs w:val="24"/>
        </w:rPr>
      </w:pPr>
      <w:r w:rsidRPr="0054194F">
        <w:rPr>
          <w:rFonts w:ascii="Times New Roman" w:eastAsia="Times New Roman" w:hAnsi="Times New Roman" w:cs="Times New Roman"/>
          <w:b/>
          <w:sz w:val="24"/>
          <w:szCs w:val="24"/>
        </w:rPr>
        <w:t>SEMAPHORE CODE</w:t>
      </w:r>
    </w:p>
    <w:p w:rsidR="008C7234" w:rsidRPr="008C7234" w:rsidRDefault="008C7234" w:rsidP="008C7234">
      <w:p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The Semaphore flag signaling system is an alphabet </w:t>
      </w:r>
      <w:proofErr w:type="spellStart"/>
      <w:r w:rsidRPr="008C7234">
        <w:rPr>
          <w:rFonts w:ascii="Times New Roman" w:eastAsia="Times New Roman" w:hAnsi="Times New Roman" w:cs="Times New Roman"/>
          <w:sz w:val="24"/>
          <w:szCs w:val="24"/>
        </w:rPr>
        <w:t>signalling</w:t>
      </w:r>
      <w:proofErr w:type="spellEnd"/>
      <w:r w:rsidRPr="008C7234">
        <w:rPr>
          <w:rFonts w:ascii="Times New Roman" w:eastAsia="Times New Roman" w:hAnsi="Times New Roman" w:cs="Times New Roman"/>
          <w:sz w:val="24"/>
          <w:szCs w:val="24"/>
        </w:rPr>
        <w:t xml:space="preserve"> system based on the waving of a pair of hand-held flags in a particular pattern.</w:t>
      </w:r>
    </w:p>
    <w:p w:rsidR="008C7234" w:rsidRPr="008C7234" w:rsidRDefault="008C7234" w:rsidP="008C7234">
      <w:p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noProof/>
          <w:color w:val="0000FF"/>
          <w:sz w:val="24"/>
          <w:szCs w:val="24"/>
        </w:rPr>
        <w:drawing>
          <wp:inline distT="0" distB="0" distL="0" distR="0" wp14:anchorId="3D628FB1" wp14:editId="35FF14CE">
            <wp:extent cx="666750" cy="571500"/>
            <wp:effectExtent l="0" t="0" r="0" b="0"/>
            <wp:docPr id="1" name="Picture 1" descr="flag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rsidRPr="008C7234">
        <w:rPr>
          <w:rFonts w:ascii="Times New Roman" w:eastAsia="Times New Roman" w:hAnsi="Times New Roman" w:cs="Times New Roman"/>
          <w:sz w:val="24"/>
          <w:szCs w:val="24"/>
        </w:rPr>
        <w:t xml:space="preserve">The flags are usually square, red and yellow, divided </w:t>
      </w:r>
      <w:proofErr w:type="spellStart"/>
      <w:r w:rsidRPr="008C7234">
        <w:rPr>
          <w:rFonts w:ascii="Times New Roman" w:eastAsia="Times New Roman" w:hAnsi="Times New Roman" w:cs="Times New Roman"/>
          <w:sz w:val="24"/>
          <w:szCs w:val="24"/>
        </w:rPr>
        <w:t>diagonaly</w:t>
      </w:r>
      <w:proofErr w:type="spellEnd"/>
      <w:r w:rsidRPr="008C7234">
        <w:rPr>
          <w:rFonts w:ascii="Times New Roman" w:eastAsia="Times New Roman" w:hAnsi="Times New Roman" w:cs="Times New Roman"/>
          <w:sz w:val="24"/>
          <w:szCs w:val="24"/>
        </w:rPr>
        <w:t xml:space="preserve"> with the red portion in the upper hoist.</w:t>
      </w:r>
    </w:p>
    <w:p w:rsidR="008C7234" w:rsidRPr="008C7234" w:rsidRDefault="008C7234" w:rsidP="008C7234">
      <w:p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The flags are held, arms extended, in various positions representing each of the letters of the alphabet. The pattern resembles a clock face divided into eight positions: up, down, out, high, low, for each of the left and right hands (LH and RH) six letters require the hand to be brought across the body so that both flags are on the same side.</w:t>
      </w:r>
    </w:p>
    <w:p w:rsidR="008C7234" w:rsidRPr="008C7234" w:rsidRDefault="008C7234" w:rsidP="008C7234">
      <w:p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noProof/>
          <w:color w:val="0000FF"/>
          <w:sz w:val="24"/>
          <w:szCs w:val="24"/>
        </w:rPr>
        <w:drawing>
          <wp:inline distT="0" distB="0" distL="0" distR="0" wp14:anchorId="092F4C06" wp14:editId="64414CD2">
            <wp:extent cx="762000" cy="666750"/>
            <wp:effectExtent l="0" t="0" r="0" b="0"/>
            <wp:docPr id="2" name="Picture 2" descr="flag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r w:rsidRPr="008C7234">
        <w:rPr>
          <w:rFonts w:ascii="Times New Roman" w:eastAsia="Times New Roman" w:hAnsi="Times New Roman" w:cs="Times New Roman"/>
          <w:sz w:val="24"/>
          <w:szCs w:val="24"/>
        </w:rPr>
        <w:t>Flag positions in Semaphore</w:t>
      </w:r>
    </w:p>
    <w:p w:rsidR="008C7234" w:rsidRPr="008C7234" w:rsidRDefault="008C7234" w:rsidP="008C7234">
      <w:p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One way to visualize the semaphore alphabet is in terms of circles: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first circle: A, B, C, D, E, F, G;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second circle: H, I, K, L, M, N (omitting J);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third circle: O, P, Q, R, S;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fourth circle: T, U, Y and 'annul';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fifth circle: 'numeric', J (or 'alphabetic'), V;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sixth circle: W, X; </w:t>
      </w:r>
    </w:p>
    <w:p w:rsidR="008C7234" w:rsidRPr="008C7234" w:rsidRDefault="008C7234" w:rsidP="008C7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234">
        <w:rPr>
          <w:rFonts w:ascii="Times New Roman" w:eastAsia="Times New Roman" w:hAnsi="Times New Roman" w:cs="Times New Roman"/>
          <w:sz w:val="24"/>
          <w:szCs w:val="24"/>
        </w:rPr>
        <w:t xml:space="preserve">seventh circle: Z </w:t>
      </w:r>
    </w:p>
    <w:p w:rsidR="009B298D" w:rsidRPr="0054194F" w:rsidRDefault="008C7234" w:rsidP="008C7234">
      <w:pPr>
        <w:rPr>
          <w:rFonts w:ascii="Times New Roman" w:eastAsia="Times New Roman" w:hAnsi="Times New Roman" w:cs="Times New Roman"/>
          <w:sz w:val="24"/>
          <w:szCs w:val="24"/>
        </w:rPr>
      </w:pPr>
      <w:r w:rsidRPr="0054194F">
        <w:rPr>
          <w:rFonts w:ascii="Times New Roman" w:eastAsia="Times New Roman" w:hAnsi="Times New Roman" w:cs="Times New Roman"/>
          <w:sz w:val="24"/>
          <w:szCs w:val="24"/>
        </w:rPr>
        <w:t xml:space="preserve">In </w:t>
      </w:r>
      <w:proofErr w:type="spellStart"/>
      <w:r w:rsidRPr="0054194F">
        <w:rPr>
          <w:rFonts w:ascii="Times New Roman" w:eastAsia="Times New Roman" w:hAnsi="Times New Roman" w:cs="Times New Roman"/>
          <w:sz w:val="24"/>
          <w:szCs w:val="24"/>
        </w:rPr>
        <w:t>ther</w:t>
      </w:r>
      <w:proofErr w:type="spellEnd"/>
      <w:r w:rsidRPr="0054194F">
        <w:rPr>
          <w:rFonts w:ascii="Times New Roman" w:eastAsia="Times New Roman" w:hAnsi="Times New Roman" w:cs="Times New Roman"/>
          <w:sz w:val="24"/>
          <w:szCs w:val="24"/>
        </w:rPr>
        <w:t xml:space="preserve"> first circle, the letters A to C are made with the right arm, and E to G with the left, and D with either as convenient. In the second circle, the right arm is kept still at the letter </w:t>
      </w:r>
      <w:proofErr w:type="gramStart"/>
      <w:r w:rsidRPr="0054194F">
        <w:rPr>
          <w:rFonts w:ascii="Times New Roman" w:eastAsia="Times New Roman" w:hAnsi="Times New Roman" w:cs="Times New Roman"/>
          <w:sz w:val="24"/>
          <w:szCs w:val="24"/>
        </w:rPr>
        <w:t>A</w:t>
      </w:r>
      <w:proofErr w:type="gramEnd"/>
      <w:r w:rsidRPr="0054194F">
        <w:rPr>
          <w:rFonts w:ascii="Times New Roman" w:eastAsia="Times New Roman" w:hAnsi="Times New Roman" w:cs="Times New Roman"/>
          <w:sz w:val="24"/>
          <w:szCs w:val="24"/>
        </w:rPr>
        <w:t xml:space="preserve"> position and the left arm makes the movements; similarly in the remaining circles, the right arm remains fixed while the left arm moves. The arms are kept straight when changing from one position to another (Croft, 2016)</w:t>
      </w:r>
    </w:p>
    <w:p w:rsidR="008C7234" w:rsidRPr="0054194F" w:rsidRDefault="008C7234" w:rsidP="008C7234">
      <w:pPr>
        <w:rPr>
          <w:rFonts w:ascii="Times New Roman" w:eastAsia="Times New Roman" w:hAnsi="Times New Roman" w:cs="Times New Roman"/>
          <w:sz w:val="24"/>
          <w:szCs w:val="24"/>
        </w:rPr>
      </w:pPr>
      <w:r w:rsidRPr="0054194F">
        <w:rPr>
          <w:rFonts w:ascii="Times New Roman" w:eastAsia="Times New Roman" w:hAnsi="Times New Roman" w:cs="Times New Roman"/>
          <w:sz w:val="24"/>
          <w:szCs w:val="24"/>
        </w:rPr>
        <w:t>History of Semaphore</w:t>
      </w:r>
    </w:p>
    <w:p w:rsidR="008C7234" w:rsidRPr="0054194F" w:rsidRDefault="008C7234" w:rsidP="008C7234">
      <w:pPr>
        <w:rPr>
          <w:rFonts w:ascii="Times New Roman" w:hAnsi="Times New Roman" w:cs="Times New Roman"/>
          <w:sz w:val="24"/>
          <w:szCs w:val="24"/>
          <w:lang w:val="en"/>
        </w:rPr>
      </w:pPr>
      <w:r w:rsidRPr="0054194F">
        <w:rPr>
          <w:rFonts w:ascii="Times New Roman" w:hAnsi="Times New Roman" w:cs="Times New Roman"/>
          <w:sz w:val="24"/>
          <w:szCs w:val="24"/>
          <w:lang w:val="en"/>
        </w:rPr>
        <w:t>Optical “</w:t>
      </w:r>
      <w:hyperlink r:id="rId9" w:tgtFrame="_self" w:history="1">
        <w:r w:rsidRPr="0054194F">
          <w:rPr>
            <w:rStyle w:val="Hyperlink"/>
            <w:rFonts w:ascii="Times New Roman" w:hAnsi="Times New Roman" w:cs="Times New Roman"/>
            <w:sz w:val="24"/>
            <w:szCs w:val="24"/>
            <w:lang w:val="en"/>
          </w:rPr>
          <w:t>telegraphs</w:t>
        </w:r>
      </w:hyperlink>
      <w:r w:rsidRPr="0054194F">
        <w:rPr>
          <w:rFonts w:ascii="Times New Roman" w:hAnsi="Times New Roman" w:cs="Times New Roman"/>
          <w:sz w:val="24"/>
          <w:szCs w:val="24"/>
          <w:lang w:val="en"/>
        </w:rPr>
        <w:t xml:space="preserve">” or signaling devices have been traced back to ancient times (using torches) and were the fastest systems to convey messages over long distances. These “telegraphs” could have since been in the form of torches, smoke signals and eventually </w:t>
      </w:r>
      <w:hyperlink r:id="rId10" w:tgtFrame="_self" w:history="1">
        <w:r w:rsidRPr="0054194F">
          <w:rPr>
            <w:rStyle w:val="Hyperlink"/>
            <w:rFonts w:ascii="Times New Roman" w:hAnsi="Times New Roman" w:cs="Times New Roman"/>
            <w:sz w:val="24"/>
            <w:szCs w:val="24"/>
            <w:lang w:val="en"/>
          </w:rPr>
          <w:t>semaphore towers</w:t>
        </w:r>
      </w:hyperlink>
      <w:r w:rsidRPr="0054194F">
        <w:rPr>
          <w:rFonts w:ascii="Times New Roman" w:hAnsi="Times New Roman" w:cs="Times New Roman"/>
          <w:sz w:val="24"/>
          <w:szCs w:val="24"/>
          <w:lang w:val="en"/>
        </w:rPr>
        <w:t>.</w:t>
      </w:r>
    </w:p>
    <w:p w:rsidR="008C7234" w:rsidRPr="0054194F" w:rsidRDefault="008C7234" w:rsidP="008C7234">
      <w:pPr>
        <w:rPr>
          <w:rFonts w:ascii="Times New Roman" w:hAnsi="Times New Roman" w:cs="Times New Roman"/>
          <w:sz w:val="24"/>
          <w:szCs w:val="24"/>
          <w:lang w:val="en"/>
        </w:rPr>
      </w:pPr>
      <w:r w:rsidRPr="0054194F">
        <w:rPr>
          <w:rFonts w:ascii="Times New Roman" w:hAnsi="Times New Roman" w:cs="Times New Roman"/>
          <w:sz w:val="24"/>
          <w:szCs w:val="24"/>
          <w:lang w:val="en"/>
        </w:rPr>
        <w:t xml:space="preserve">The </w:t>
      </w:r>
      <w:hyperlink r:id="rId11" w:tgtFrame="_self" w:history="1">
        <w:r w:rsidRPr="0054194F">
          <w:rPr>
            <w:rStyle w:val="Hyperlink"/>
            <w:rFonts w:ascii="Times New Roman" w:hAnsi="Times New Roman" w:cs="Times New Roman"/>
            <w:sz w:val="24"/>
            <w:szCs w:val="24"/>
            <w:lang w:val="en"/>
          </w:rPr>
          <w:t>semaphore tower/semaphore line</w:t>
        </w:r>
      </w:hyperlink>
      <w:r w:rsidRPr="0054194F">
        <w:rPr>
          <w:rFonts w:ascii="Times New Roman" w:hAnsi="Times New Roman" w:cs="Times New Roman"/>
          <w:sz w:val="24"/>
          <w:szCs w:val="24"/>
          <w:lang w:val="en"/>
        </w:rPr>
        <w:t xml:space="preserve"> design was first thought up by R</w:t>
      </w:r>
      <w:hyperlink r:id="rId12" w:tgtFrame="_self" w:history="1">
        <w:r w:rsidRPr="0054194F">
          <w:rPr>
            <w:rStyle w:val="Hyperlink"/>
            <w:rFonts w:ascii="Times New Roman" w:hAnsi="Times New Roman" w:cs="Times New Roman"/>
            <w:sz w:val="24"/>
            <w:szCs w:val="24"/>
            <w:lang w:val="en"/>
          </w:rPr>
          <w:t xml:space="preserve">obert Hooke </w:t>
        </w:r>
      </w:hyperlink>
      <w:r w:rsidRPr="0054194F">
        <w:rPr>
          <w:rFonts w:ascii="Times New Roman" w:hAnsi="Times New Roman" w:cs="Times New Roman"/>
          <w:sz w:val="24"/>
          <w:szCs w:val="24"/>
          <w:lang w:val="en"/>
        </w:rPr>
        <w:t xml:space="preserve">in 1684 and submitted to the </w:t>
      </w:r>
      <w:hyperlink r:id="rId13" w:tgtFrame="_self" w:history="1">
        <w:r w:rsidRPr="0054194F">
          <w:rPr>
            <w:rStyle w:val="Hyperlink"/>
            <w:rFonts w:ascii="Times New Roman" w:hAnsi="Times New Roman" w:cs="Times New Roman"/>
            <w:sz w:val="24"/>
            <w:szCs w:val="24"/>
            <w:lang w:val="en"/>
          </w:rPr>
          <w:t>Royal Society</w:t>
        </w:r>
      </w:hyperlink>
      <w:r w:rsidRPr="0054194F">
        <w:rPr>
          <w:rFonts w:ascii="Times New Roman" w:hAnsi="Times New Roman" w:cs="Times New Roman"/>
          <w:sz w:val="24"/>
          <w:szCs w:val="24"/>
          <w:lang w:val="en"/>
        </w:rPr>
        <w:t xml:space="preserve">. The system was not implemented though due to military concerns. However, this did lead to </w:t>
      </w:r>
      <w:hyperlink r:id="rId14" w:tgtFrame="_self" w:history="1">
        <w:r w:rsidRPr="0054194F">
          <w:rPr>
            <w:rStyle w:val="Hyperlink"/>
            <w:rFonts w:ascii="Times New Roman" w:hAnsi="Times New Roman" w:cs="Times New Roman"/>
            <w:sz w:val="24"/>
            <w:szCs w:val="24"/>
            <w:lang w:val="en"/>
          </w:rPr>
          <w:t xml:space="preserve">Claude </w:t>
        </w:r>
        <w:proofErr w:type="spellStart"/>
        <w:r w:rsidRPr="0054194F">
          <w:rPr>
            <w:rStyle w:val="Hyperlink"/>
            <w:rFonts w:ascii="Times New Roman" w:hAnsi="Times New Roman" w:cs="Times New Roman"/>
            <w:sz w:val="24"/>
            <w:szCs w:val="24"/>
            <w:lang w:val="en"/>
          </w:rPr>
          <w:t>Chappe</w:t>
        </w:r>
        <w:proofErr w:type="spellEnd"/>
      </w:hyperlink>
      <w:r w:rsidRPr="0054194F">
        <w:rPr>
          <w:rFonts w:ascii="Times New Roman" w:hAnsi="Times New Roman" w:cs="Times New Roman"/>
          <w:sz w:val="24"/>
          <w:szCs w:val="24"/>
          <w:lang w:val="en"/>
        </w:rPr>
        <w:t xml:space="preserve"> developing the first visual telegraph in </w:t>
      </w:r>
      <w:r w:rsidRPr="0054194F">
        <w:rPr>
          <w:rFonts w:ascii="Times New Roman" w:hAnsi="Times New Roman" w:cs="Times New Roman"/>
          <w:sz w:val="24"/>
          <w:szCs w:val="24"/>
          <w:lang w:val="en"/>
        </w:rPr>
        <w:lastRenderedPageBreak/>
        <w:t xml:space="preserve">1792 – eventually covering much of France via 556 stations. In </w:t>
      </w:r>
      <w:hyperlink r:id="rId15" w:tgtFrame="_self" w:history="1">
        <w:r w:rsidRPr="0054194F">
          <w:rPr>
            <w:rStyle w:val="Hyperlink"/>
            <w:rFonts w:ascii="Times New Roman" w:hAnsi="Times New Roman" w:cs="Times New Roman"/>
            <w:sz w:val="24"/>
            <w:szCs w:val="24"/>
            <w:lang w:val="en"/>
          </w:rPr>
          <w:t>France</w:t>
        </w:r>
      </w:hyperlink>
      <w:r w:rsidRPr="0054194F">
        <w:rPr>
          <w:rFonts w:ascii="Times New Roman" w:hAnsi="Times New Roman" w:cs="Times New Roman"/>
          <w:sz w:val="24"/>
          <w:szCs w:val="24"/>
          <w:lang w:val="en"/>
        </w:rPr>
        <w:t xml:space="preserve">, this was the primary source of communication for military and national applications, until it became more widely used in the 1850’s. Designs varied between using shudders open and closed to holes being open and closed, but </w:t>
      </w:r>
      <w:proofErr w:type="spellStart"/>
      <w:r w:rsidRPr="0054194F">
        <w:rPr>
          <w:rFonts w:ascii="Times New Roman" w:hAnsi="Times New Roman" w:cs="Times New Roman"/>
          <w:sz w:val="24"/>
          <w:szCs w:val="24"/>
          <w:lang w:val="en"/>
        </w:rPr>
        <w:t>Chappe’s</w:t>
      </w:r>
      <w:proofErr w:type="spellEnd"/>
      <w:r w:rsidRPr="0054194F">
        <w:rPr>
          <w:rFonts w:ascii="Times New Roman" w:hAnsi="Times New Roman" w:cs="Times New Roman"/>
          <w:sz w:val="24"/>
          <w:szCs w:val="24"/>
          <w:lang w:val="en"/>
        </w:rPr>
        <w:t xml:space="preserve"> design became the most widely used semaphore design.</w:t>
      </w:r>
    </w:p>
    <w:p w:rsidR="0054194F" w:rsidRPr="0054194F" w:rsidRDefault="0054194F" w:rsidP="0054194F">
      <w:pPr>
        <w:spacing w:before="100" w:beforeAutospacing="1" w:after="100" w:afterAutospacing="1" w:line="240" w:lineRule="auto"/>
        <w:rPr>
          <w:rFonts w:ascii="Times New Roman" w:eastAsia="Times New Roman" w:hAnsi="Times New Roman" w:cs="Times New Roman"/>
          <w:sz w:val="24"/>
          <w:szCs w:val="24"/>
          <w:lang w:val="en"/>
        </w:rPr>
      </w:pPr>
      <w:r w:rsidRPr="0054194F">
        <w:rPr>
          <w:rFonts w:ascii="Times New Roman" w:eastAsia="Times New Roman" w:hAnsi="Times New Roman" w:cs="Times New Roman"/>
          <w:sz w:val="24"/>
          <w:szCs w:val="24"/>
          <w:lang w:val="en"/>
        </w:rPr>
        <w:t xml:space="preserve">These visual messaging systems eventually led to </w:t>
      </w:r>
      <w:hyperlink r:id="rId16" w:tgtFrame="_self" w:history="1">
        <w:r w:rsidRPr="0054194F">
          <w:rPr>
            <w:rFonts w:ascii="Times New Roman" w:eastAsia="Times New Roman" w:hAnsi="Times New Roman" w:cs="Times New Roman"/>
            <w:color w:val="0000FF"/>
            <w:sz w:val="24"/>
            <w:szCs w:val="24"/>
            <w:u w:val="single"/>
            <w:lang w:val="en"/>
          </w:rPr>
          <w:t>semaphore flags</w:t>
        </w:r>
      </w:hyperlink>
      <w:r w:rsidRPr="0054194F">
        <w:rPr>
          <w:rFonts w:ascii="Times New Roman" w:eastAsia="Times New Roman" w:hAnsi="Times New Roman" w:cs="Times New Roman"/>
          <w:sz w:val="24"/>
          <w:szCs w:val="24"/>
          <w:lang w:val="en"/>
        </w:rPr>
        <w:t xml:space="preserve">. These flags were used in the same way that the arms were used on the semaphore towers – different fixed positions mean different messages. Semaphore flags were primarily used for naval applications to communicate message between boats. It proved to be a very useful tactic during battles, most famously the </w:t>
      </w:r>
      <w:hyperlink r:id="rId17" w:tgtFrame="_self" w:history="1">
        <w:r w:rsidRPr="0054194F">
          <w:rPr>
            <w:rFonts w:ascii="Times New Roman" w:eastAsia="Times New Roman" w:hAnsi="Times New Roman" w:cs="Times New Roman"/>
            <w:color w:val="0000FF"/>
            <w:sz w:val="24"/>
            <w:szCs w:val="24"/>
            <w:u w:val="single"/>
            <w:lang w:val="en"/>
          </w:rPr>
          <w:t>Battle of Trafalgar</w:t>
        </w:r>
      </w:hyperlink>
      <w:r w:rsidRPr="0054194F">
        <w:rPr>
          <w:rFonts w:ascii="Times New Roman" w:eastAsia="Times New Roman" w:hAnsi="Times New Roman" w:cs="Times New Roman"/>
          <w:sz w:val="24"/>
          <w:szCs w:val="24"/>
          <w:lang w:val="en"/>
        </w:rPr>
        <w:t xml:space="preserve"> during the Napoleonic Wars.</w:t>
      </w:r>
    </w:p>
    <w:p w:rsidR="0054194F" w:rsidRPr="0054194F" w:rsidRDefault="0054194F" w:rsidP="0054194F">
      <w:pPr>
        <w:spacing w:before="100" w:beforeAutospacing="1" w:after="100" w:afterAutospacing="1" w:line="240" w:lineRule="auto"/>
        <w:rPr>
          <w:rFonts w:ascii="Times New Roman" w:eastAsia="Times New Roman" w:hAnsi="Times New Roman" w:cs="Times New Roman"/>
          <w:sz w:val="24"/>
          <w:szCs w:val="24"/>
          <w:lang w:val="en"/>
        </w:rPr>
      </w:pPr>
      <w:r w:rsidRPr="0054194F">
        <w:rPr>
          <w:rFonts w:ascii="Times New Roman" w:eastAsia="Times New Roman" w:hAnsi="Times New Roman" w:cs="Times New Roman"/>
          <w:sz w:val="24"/>
          <w:szCs w:val="24"/>
          <w:lang w:val="en"/>
        </w:rPr>
        <w:t xml:space="preserve">Today these flags have become smaller and are usually mounted to small dowels or poles to allow them to be seen easier. Maritime use flags are red and yellow (or the </w:t>
      </w:r>
      <w:hyperlink r:id="rId18" w:tgtFrame="_blank" w:history="1">
        <w:r w:rsidRPr="0054194F">
          <w:rPr>
            <w:rFonts w:ascii="Times New Roman" w:eastAsia="Times New Roman" w:hAnsi="Times New Roman" w:cs="Times New Roman"/>
            <w:color w:val="0000FF"/>
            <w:sz w:val="24"/>
            <w:szCs w:val="24"/>
            <w:u w:val="single"/>
            <w:lang w:val="en"/>
          </w:rPr>
          <w:t>OSCAR</w:t>
        </w:r>
      </w:hyperlink>
      <w:r w:rsidRPr="0054194F">
        <w:rPr>
          <w:rFonts w:ascii="Times New Roman" w:eastAsia="Times New Roman" w:hAnsi="Times New Roman" w:cs="Times New Roman"/>
          <w:sz w:val="24"/>
          <w:szCs w:val="24"/>
          <w:lang w:val="en"/>
        </w:rPr>
        <w:t xml:space="preserve">) flag and while in land use, the flags are blue and white (or the </w:t>
      </w:r>
      <w:hyperlink r:id="rId19" w:tgtFrame="_self" w:history="1">
        <w:r w:rsidRPr="0054194F">
          <w:rPr>
            <w:rFonts w:ascii="Times New Roman" w:eastAsia="Times New Roman" w:hAnsi="Times New Roman" w:cs="Times New Roman"/>
            <w:color w:val="0000FF"/>
            <w:sz w:val="24"/>
            <w:szCs w:val="24"/>
            <w:u w:val="single"/>
            <w:lang w:val="en"/>
          </w:rPr>
          <w:t>PAPA</w:t>
        </w:r>
      </w:hyperlink>
      <w:r w:rsidRPr="0054194F">
        <w:rPr>
          <w:rFonts w:ascii="Times New Roman" w:eastAsia="Times New Roman" w:hAnsi="Times New Roman" w:cs="Times New Roman"/>
          <w:sz w:val="24"/>
          <w:szCs w:val="24"/>
          <w:lang w:val="en"/>
        </w:rPr>
        <w:t>) flag. Even though they are not in use much anymore, they still</w:t>
      </w:r>
      <w:r w:rsidRPr="0054194F">
        <w:rPr>
          <w:rFonts w:ascii="Times New Roman" w:eastAsia="Times New Roman" w:hAnsi="Times New Roman" w:cs="Times New Roman"/>
          <w:sz w:val="24"/>
          <w:szCs w:val="24"/>
          <w:lang w:val="en"/>
        </w:rPr>
        <w:t xml:space="preserve"> serve for some boats and ships (</w:t>
      </w:r>
      <w:proofErr w:type="spellStart"/>
      <w:r w:rsidRPr="0054194F">
        <w:rPr>
          <w:rFonts w:ascii="Times New Roman" w:eastAsia="Times New Roman" w:hAnsi="Times New Roman" w:cs="Times New Roman"/>
          <w:sz w:val="24"/>
          <w:szCs w:val="24"/>
          <w:lang w:val="en"/>
        </w:rPr>
        <w:t>flagexpressionss</w:t>
      </w:r>
      <w:proofErr w:type="spellEnd"/>
      <w:r w:rsidRPr="0054194F">
        <w:rPr>
          <w:rFonts w:ascii="Times New Roman" w:eastAsia="Times New Roman" w:hAnsi="Times New Roman" w:cs="Times New Roman"/>
          <w:sz w:val="24"/>
          <w:szCs w:val="24"/>
          <w:lang w:val="en"/>
        </w:rPr>
        <w:t>, 2010).</w:t>
      </w:r>
    </w:p>
    <w:p w:rsidR="0054194F" w:rsidRPr="0054194F" w:rsidRDefault="0054194F" w:rsidP="008C7234">
      <w:pPr>
        <w:rPr>
          <w:rFonts w:ascii="Times New Roman" w:eastAsia="Times New Roman" w:hAnsi="Times New Roman" w:cs="Times New Roman"/>
          <w:sz w:val="24"/>
          <w:szCs w:val="24"/>
        </w:rPr>
      </w:pPr>
    </w:p>
    <w:p w:rsidR="008C7234" w:rsidRPr="0054194F" w:rsidRDefault="008C7234" w:rsidP="008C7234">
      <w:pPr>
        <w:rPr>
          <w:rFonts w:ascii="Times New Roman" w:eastAsia="Times New Roman" w:hAnsi="Times New Roman" w:cs="Times New Roman"/>
          <w:sz w:val="24"/>
          <w:szCs w:val="24"/>
        </w:rPr>
      </w:pPr>
    </w:p>
    <w:p w:rsidR="008C7234" w:rsidRPr="0054194F" w:rsidRDefault="008C7234" w:rsidP="008C7234">
      <w:pPr>
        <w:rPr>
          <w:rFonts w:ascii="Times New Roman" w:eastAsia="Times New Roman" w:hAnsi="Times New Roman" w:cs="Times New Roman"/>
          <w:b/>
          <w:sz w:val="24"/>
          <w:szCs w:val="24"/>
        </w:rPr>
      </w:pPr>
      <w:r w:rsidRPr="0054194F">
        <w:rPr>
          <w:rFonts w:ascii="Times New Roman" w:eastAsia="Times New Roman" w:hAnsi="Times New Roman" w:cs="Times New Roman"/>
          <w:b/>
          <w:sz w:val="24"/>
          <w:szCs w:val="24"/>
        </w:rPr>
        <w:t>Reference List</w:t>
      </w:r>
      <w:bookmarkStart w:id="0" w:name="_GoBack"/>
      <w:bookmarkEnd w:id="0"/>
    </w:p>
    <w:p w:rsidR="008C7234" w:rsidRPr="0054194F" w:rsidRDefault="008C7234" w:rsidP="008C7234">
      <w:pPr>
        <w:rPr>
          <w:rFonts w:ascii="Times New Roman" w:eastAsia="Times New Roman" w:hAnsi="Times New Roman" w:cs="Times New Roman"/>
          <w:sz w:val="24"/>
          <w:szCs w:val="24"/>
        </w:rPr>
      </w:pPr>
      <w:r w:rsidRPr="0054194F">
        <w:rPr>
          <w:rFonts w:ascii="Times New Roman" w:eastAsia="Times New Roman" w:hAnsi="Times New Roman" w:cs="Times New Roman"/>
          <w:sz w:val="24"/>
          <w:szCs w:val="24"/>
        </w:rPr>
        <w:t>Croft, J</w:t>
      </w:r>
      <w:proofErr w:type="gramStart"/>
      <w:r w:rsidRPr="0054194F">
        <w:rPr>
          <w:rFonts w:ascii="Times New Roman" w:eastAsia="Times New Roman" w:hAnsi="Times New Roman" w:cs="Times New Roman"/>
          <w:sz w:val="24"/>
          <w:szCs w:val="24"/>
        </w:rPr>
        <w:t>.(</w:t>
      </w:r>
      <w:proofErr w:type="gramEnd"/>
      <w:r w:rsidRPr="0054194F">
        <w:rPr>
          <w:rFonts w:ascii="Times New Roman" w:eastAsia="Times New Roman" w:hAnsi="Times New Roman" w:cs="Times New Roman"/>
          <w:sz w:val="24"/>
          <w:szCs w:val="24"/>
        </w:rPr>
        <w:t xml:space="preserve">2016). Australian National Botanic Gardens, Semaphore Flag Signaling System. Retrieved on May 30, 2016 from </w:t>
      </w:r>
      <w:hyperlink r:id="rId20" w:history="1">
        <w:r w:rsidRPr="0054194F">
          <w:rPr>
            <w:rStyle w:val="Hyperlink"/>
            <w:rFonts w:ascii="Times New Roman" w:eastAsia="Times New Roman" w:hAnsi="Times New Roman" w:cs="Times New Roman"/>
            <w:sz w:val="24"/>
            <w:szCs w:val="24"/>
          </w:rPr>
          <w:t>http://www.anbg.gov.au/flags/semaphore.html</w:t>
        </w:r>
      </w:hyperlink>
      <w:r w:rsidRPr="0054194F">
        <w:rPr>
          <w:rFonts w:ascii="Times New Roman" w:eastAsia="Times New Roman" w:hAnsi="Times New Roman" w:cs="Times New Roman"/>
          <w:sz w:val="24"/>
          <w:szCs w:val="24"/>
        </w:rPr>
        <w:t xml:space="preserve"> </w:t>
      </w:r>
    </w:p>
    <w:p w:rsidR="0054194F" w:rsidRDefault="0054194F" w:rsidP="008C7234">
      <w:pPr>
        <w:rPr>
          <w:rFonts w:ascii="Times New Roman" w:eastAsia="Times New Roman" w:hAnsi="Times New Roman" w:cs="Times New Roman"/>
          <w:sz w:val="24"/>
          <w:szCs w:val="24"/>
        </w:rPr>
      </w:pPr>
      <w:proofErr w:type="spellStart"/>
      <w:proofErr w:type="gramStart"/>
      <w:r w:rsidRPr="0054194F">
        <w:rPr>
          <w:rFonts w:ascii="Times New Roman" w:eastAsia="Times New Roman" w:hAnsi="Times New Roman" w:cs="Times New Roman"/>
          <w:sz w:val="24"/>
          <w:szCs w:val="24"/>
        </w:rPr>
        <w:t>flagexpressions</w:t>
      </w:r>
      <w:proofErr w:type="spellEnd"/>
      <w:proofErr w:type="gramEnd"/>
      <w:r w:rsidRPr="0054194F">
        <w:rPr>
          <w:rFonts w:ascii="Times New Roman" w:eastAsia="Times New Roman" w:hAnsi="Times New Roman" w:cs="Times New Roman"/>
          <w:sz w:val="24"/>
          <w:szCs w:val="24"/>
        </w:rPr>
        <w:t xml:space="preserve"> (2010). History </w:t>
      </w:r>
      <w:proofErr w:type="gramStart"/>
      <w:r w:rsidRPr="0054194F">
        <w:rPr>
          <w:rFonts w:ascii="Times New Roman" w:eastAsia="Times New Roman" w:hAnsi="Times New Roman" w:cs="Times New Roman"/>
          <w:sz w:val="24"/>
          <w:szCs w:val="24"/>
        </w:rPr>
        <w:t>Behind</w:t>
      </w:r>
      <w:proofErr w:type="gramEnd"/>
      <w:r w:rsidRPr="0054194F">
        <w:rPr>
          <w:rFonts w:ascii="Times New Roman" w:eastAsia="Times New Roman" w:hAnsi="Times New Roman" w:cs="Times New Roman"/>
          <w:sz w:val="24"/>
          <w:szCs w:val="24"/>
        </w:rPr>
        <w:t xml:space="preserve"> Semaphore Flags. Retrieved on May 30, 2016 from </w:t>
      </w:r>
      <w:hyperlink r:id="rId21" w:history="1">
        <w:r w:rsidRPr="0054194F">
          <w:rPr>
            <w:rStyle w:val="Hyperlink"/>
            <w:rFonts w:ascii="Times New Roman" w:eastAsia="Times New Roman" w:hAnsi="Times New Roman" w:cs="Times New Roman"/>
            <w:sz w:val="24"/>
            <w:szCs w:val="24"/>
          </w:rPr>
          <w:t>https://flagexpressions.wordpress.com/2010/03/23/history-behind-semaphore-flags/</w:t>
        </w:r>
      </w:hyperlink>
      <w:r>
        <w:rPr>
          <w:rFonts w:ascii="Times New Roman" w:eastAsia="Times New Roman" w:hAnsi="Times New Roman" w:cs="Times New Roman"/>
          <w:sz w:val="24"/>
          <w:szCs w:val="24"/>
        </w:rPr>
        <w:t xml:space="preserve"> </w:t>
      </w:r>
    </w:p>
    <w:p w:rsidR="0054194F" w:rsidRDefault="0054194F" w:rsidP="008C7234"/>
    <w:sectPr w:rsidR="0054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6456"/>
    <w:multiLevelType w:val="multilevel"/>
    <w:tmpl w:val="F0E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34"/>
    <w:rsid w:val="0054194F"/>
    <w:rsid w:val="008C7234"/>
    <w:rsid w:val="00F463E0"/>
    <w:rsid w:val="00F5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9B57-C157-4805-9D5F-789146A8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2329">
      <w:bodyDiv w:val="1"/>
      <w:marLeft w:val="0"/>
      <w:marRight w:val="0"/>
      <w:marTop w:val="0"/>
      <w:marBottom w:val="0"/>
      <w:divBdr>
        <w:top w:val="none" w:sz="0" w:space="0" w:color="auto"/>
        <w:left w:val="none" w:sz="0" w:space="0" w:color="auto"/>
        <w:bottom w:val="none" w:sz="0" w:space="0" w:color="auto"/>
        <w:right w:val="none" w:sz="0" w:space="0" w:color="auto"/>
      </w:divBdr>
    </w:div>
    <w:div w:id="1968855977">
      <w:bodyDiv w:val="1"/>
      <w:marLeft w:val="0"/>
      <w:marRight w:val="0"/>
      <w:marTop w:val="0"/>
      <w:marBottom w:val="0"/>
      <w:divBdr>
        <w:top w:val="none" w:sz="0" w:space="0" w:color="auto"/>
        <w:left w:val="none" w:sz="0" w:space="0" w:color="auto"/>
        <w:bottom w:val="none" w:sz="0" w:space="0" w:color="auto"/>
        <w:right w:val="none" w:sz="0" w:space="0" w:color="auto"/>
      </w:divBdr>
      <w:divsChild>
        <w:div w:id="853225755">
          <w:marLeft w:val="0"/>
          <w:marRight w:val="0"/>
          <w:marTop w:val="0"/>
          <w:marBottom w:val="0"/>
          <w:divBdr>
            <w:top w:val="none" w:sz="0" w:space="0" w:color="auto"/>
            <w:left w:val="none" w:sz="0" w:space="0" w:color="auto"/>
            <w:bottom w:val="none" w:sz="0" w:space="0" w:color="auto"/>
            <w:right w:val="none" w:sz="0" w:space="0" w:color="auto"/>
          </w:divBdr>
          <w:divsChild>
            <w:div w:id="991445835">
              <w:marLeft w:val="0"/>
              <w:marRight w:val="0"/>
              <w:marTop w:val="0"/>
              <w:marBottom w:val="0"/>
              <w:divBdr>
                <w:top w:val="none" w:sz="0" w:space="0" w:color="auto"/>
                <w:left w:val="none" w:sz="0" w:space="0" w:color="auto"/>
                <w:bottom w:val="none" w:sz="0" w:space="0" w:color="auto"/>
                <w:right w:val="none" w:sz="0" w:space="0" w:color="auto"/>
              </w:divBdr>
              <w:divsChild>
                <w:div w:id="2030712277">
                  <w:marLeft w:val="0"/>
                  <w:marRight w:val="0"/>
                  <w:marTop w:val="0"/>
                  <w:marBottom w:val="0"/>
                  <w:divBdr>
                    <w:top w:val="none" w:sz="0" w:space="0" w:color="auto"/>
                    <w:left w:val="none" w:sz="0" w:space="0" w:color="auto"/>
                    <w:bottom w:val="none" w:sz="0" w:space="0" w:color="auto"/>
                    <w:right w:val="none" w:sz="0" w:space="0" w:color="auto"/>
                  </w:divBdr>
                  <w:divsChild>
                    <w:div w:id="1144931402">
                      <w:marLeft w:val="0"/>
                      <w:marRight w:val="0"/>
                      <w:marTop w:val="0"/>
                      <w:marBottom w:val="0"/>
                      <w:divBdr>
                        <w:top w:val="none" w:sz="0" w:space="0" w:color="auto"/>
                        <w:left w:val="none" w:sz="0" w:space="0" w:color="auto"/>
                        <w:bottom w:val="none" w:sz="0" w:space="0" w:color="auto"/>
                        <w:right w:val="none" w:sz="0" w:space="0" w:color="auto"/>
                      </w:divBdr>
                      <w:divsChild>
                        <w:div w:id="719669808">
                          <w:marLeft w:val="0"/>
                          <w:marRight w:val="0"/>
                          <w:marTop w:val="0"/>
                          <w:marBottom w:val="0"/>
                          <w:divBdr>
                            <w:top w:val="none" w:sz="0" w:space="0" w:color="auto"/>
                            <w:left w:val="none" w:sz="0" w:space="0" w:color="auto"/>
                            <w:bottom w:val="none" w:sz="0" w:space="0" w:color="auto"/>
                            <w:right w:val="none" w:sz="0" w:space="0" w:color="auto"/>
                          </w:divBdr>
                          <w:divsChild>
                            <w:div w:id="843209448">
                              <w:marLeft w:val="0"/>
                              <w:marRight w:val="0"/>
                              <w:marTop w:val="0"/>
                              <w:marBottom w:val="0"/>
                              <w:divBdr>
                                <w:top w:val="none" w:sz="0" w:space="0" w:color="auto"/>
                                <w:left w:val="none" w:sz="0" w:space="0" w:color="auto"/>
                                <w:bottom w:val="none" w:sz="0" w:space="0" w:color="auto"/>
                                <w:right w:val="none" w:sz="0" w:space="0" w:color="auto"/>
                              </w:divBdr>
                              <w:divsChild>
                                <w:div w:id="1291284656">
                                  <w:marLeft w:val="0"/>
                                  <w:marRight w:val="0"/>
                                  <w:marTop w:val="0"/>
                                  <w:marBottom w:val="0"/>
                                  <w:divBdr>
                                    <w:top w:val="none" w:sz="0" w:space="0" w:color="auto"/>
                                    <w:left w:val="none" w:sz="0" w:space="0" w:color="auto"/>
                                    <w:bottom w:val="none" w:sz="0" w:space="0" w:color="auto"/>
                                    <w:right w:val="none" w:sz="0" w:space="0" w:color="auto"/>
                                  </w:divBdr>
                                  <w:divsChild>
                                    <w:div w:id="1092429525">
                                      <w:marLeft w:val="0"/>
                                      <w:marRight w:val="0"/>
                                      <w:marTop w:val="0"/>
                                      <w:marBottom w:val="0"/>
                                      <w:divBdr>
                                        <w:top w:val="none" w:sz="0" w:space="0" w:color="auto"/>
                                        <w:left w:val="none" w:sz="0" w:space="0" w:color="auto"/>
                                        <w:bottom w:val="none" w:sz="0" w:space="0" w:color="auto"/>
                                        <w:right w:val="none" w:sz="0" w:space="0" w:color="auto"/>
                                      </w:divBdr>
                                      <w:divsChild>
                                        <w:div w:id="20950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n.wikipedia.org/wiki/Royal_society" TargetMode="External"/><Relationship Id="rId18" Type="http://schemas.openxmlformats.org/officeDocument/2006/relationships/hyperlink" Target="http://www.flagexpressions.com/nautical-signal-flags-oscar-o.aspx" TargetMode="External"/><Relationship Id="rId3" Type="http://schemas.openxmlformats.org/officeDocument/2006/relationships/settings" Target="settings.xml"/><Relationship Id="rId21" Type="http://schemas.openxmlformats.org/officeDocument/2006/relationships/hyperlink" Target="https://flagexpressions.wordpress.com/2010/03/23/history-behind-semaphore-flags/" TargetMode="External"/><Relationship Id="rId7" Type="http://schemas.openxmlformats.org/officeDocument/2006/relationships/hyperlink" Target="http://www.anbg.gov.au/images/flags/semaphore/semaphore.gif" TargetMode="External"/><Relationship Id="rId12" Type="http://schemas.openxmlformats.org/officeDocument/2006/relationships/hyperlink" Target="http://en.wikipedia.org/wiki/Robert_Hooke" TargetMode="External"/><Relationship Id="rId17" Type="http://schemas.openxmlformats.org/officeDocument/2006/relationships/hyperlink" Target="http://en.wikipedia.org/wiki/Battle_of_Trafalgar" TargetMode="External"/><Relationship Id="rId2" Type="http://schemas.openxmlformats.org/officeDocument/2006/relationships/styles" Target="styles.xml"/><Relationship Id="rId16" Type="http://schemas.openxmlformats.org/officeDocument/2006/relationships/hyperlink" Target="http://www.flagexpressions.com/semaphore-flag-set-18x18.aspx" TargetMode="External"/><Relationship Id="rId20" Type="http://schemas.openxmlformats.org/officeDocument/2006/relationships/hyperlink" Target="http://www.anbg.gov.au/flags/semaphor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n.wikipedia.org/wiki/Semaphore_line" TargetMode="External"/><Relationship Id="rId5" Type="http://schemas.openxmlformats.org/officeDocument/2006/relationships/hyperlink" Target="http://www.anbg.gov.au/images/flags/misc/semaphore.gif" TargetMode="External"/><Relationship Id="rId15" Type="http://schemas.openxmlformats.org/officeDocument/2006/relationships/hyperlink" Target="http://en.wikipedia.org/wiki/France" TargetMode="External"/><Relationship Id="rId23" Type="http://schemas.openxmlformats.org/officeDocument/2006/relationships/theme" Target="theme/theme1.xml"/><Relationship Id="rId10" Type="http://schemas.openxmlformats.org/officeDocument/2006/relationships/hyperlink" Target="http://en.wikipedia.org/wiki/Semaphore_line" TargetMode="External"/><Relationship Id="rId19" Type="http://schemas.openxmlformats.org/officeDocument/2006/relationships/hyperlink" Target="http://www.flagexpressions.com/nautical-signal-flags-oscar-o.aspx" TargetMode="External"/><Relationship Id="rId4" Type="http://schemas.openxmlformats.org/officeDocument/2006/relationships/webSettings" Target="webSettings.xml"/><Relationship Id="rId9" Type="http://schemas.openxmlformats.org/officeDocument/2006/relationships/hyperlink" Target="http://en.wikipedia.org/wiki/Telegraphy" TargetMode="External"/><Relationship Id="rId14" Type="http://schemas.openxmlformats.org/officeDocument/2006/relationships/hyperlink" Target="http://en.wikipedia.org/wiki/Claude_Chap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2016-05-30T06:59:00Z</dcterms:created>
  <dcterms:modified xsi:type="dcterms:W3CDTF">2016-05-30T07:14:00Z</dcterms:modified>
</cp:coreProperties>
</file>